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jc w:val="center"/>
        <w:rPr>
          <w:rFonts w:hint="default" w:asciiTheme="minorHAnsi" w:hAnsiTheme="minorHAnsi" w:eastAsiaTheme="minorEastAsia" w:cstheme="minorBidi"/>
          <w:kern w:val="0"/>
          <w:sz w:val="44"/>
          <w:szCs w:val="44"/>
          <w:lang w:val="en-US" w:eastAsia="zh-CN" w:bidi="ar"/>
        </w:rPr>
      </w:pPr>
      <w:r>
        <w:rPr>
          <w:rFonts w:hint="eastAsia" w:cstheme="minorBidi"/>
          <w:kern w:val="0"/>
          <w:sz w:val="44"/>
          <w:szCs w:val="44"/>
          <w:lang w:val="en-US" w:eastAsia="zh-CN" w:bidi="ar"/>
        </w:rPr>
        <w:t>温州大学瓯江学院智慧教室类型简介</w:t>
      </w:r>
    </w:p>
    <w:p>
      <w:pPr>
        <w:pStyle w:val="9"/>
      </w:pPr>
      <w:r>
        <w:t>窗体底端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远程互动型智慧教室（瓯5-204）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48座活动桌椅，以远程互动教学应用为主，同时兼顾了基础型智慧教室的功能及应用。具体应用包括多校区同步课堂教学应用满足多校区通识课、选修课等课程，解决学校由于多校区带来的排课难问题;可以进行跨区域、跨学校之间的学术交流活动的开展;可以满足后疫情时代网络互动课堂的需求。</w:t>
      </w:r>
      <w:r>
        <w:rPr>
          <w:rFonts w:hint="default"/>
          <w:lang w:val="en-US" w:eastAsia="zh-CN"/>
        </w:rPr>
        <w:drawing>
          <wp:inline distT="0" distB="0" distL="114300" distR="114300">
            <wp:extent cx="5271770" cy="3958590"/>
            <wp:effectExtent l="0" t="0" r="5080" b="3810"/>
            <wp:docPr id="4" name="图片 4" descr="微信图片_2020122115443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221154435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小组研讨智慧教室（瓯5-206、瓯5-208）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6个小组每组8人共48座，主要服务于设计类课程、研讨类课程、项目式教学和以小组为单位的PBL教学课程教学过程中，主要功能及应用在常态化智慧教室基础之上增加了分组教学、精品录播等功能。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="等线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-8036560</wp:posOffset>
            </wp:positionV>
            <wp:extent cx="5274310" cy="3955415"/>
            <wp:effectExtent l="0" t="0" r="2540" b="6985"/>
            <wp:wrapSquare wrapText="bothSides"/>
            <wp:docPr id="2" name="图片 2" descr="2.jpg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jpg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演讲型智慧教室（5-210）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="等线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具有1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座固定桌椅，在常态化型智慧教室功能基础之上增加了远程互动、多视窗教学等功能，可以满足跨校区、跨学校之间的学术交流、通识课/选修课的教学应用;同时，还能满足小型活动、路演、实操、实践课等教学活动开展。</w:t>
      </w:r>
      <w:r>
        <w:rPr>
          <w:rFonts w:hint="eastAsia" w:eastAsia="等线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3.jpg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jpg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righ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/>
          <w:lang w:val="en-US" w:eastAsia="zh-CN"/>
        </w:rPr>
      </w:pP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333CD"/>
    <w:rsid w:val="14646418"/>
    <w:rsid w:val="190B6CAC"/>
    <w:rsid w:val="23682E2E"/>
    <w:rsid w:val="25166424"/>
    <w:rsid w:val="299A19CD"/>
    <w:rsid w:val="2B830B51"/>
    <w:rsid w:val="2E6A08D9"/>
    <w:rsid w:val="30480D01"/>
    <w:rsid w:val="3ECD3FEF"/>
    <w:rsid w:val="42F63D37"/>
    <w:rsid w:val="49C04239"/>
    <w:rsid w:val="523A091B"/>
    <w:rsid w:val="5796357E"/>
    <w:rsid w:val="61CF62C5"/>
    <w:rsid w:val="74D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老兵456</cp:lastModifiedBy>
  <dcterms:modified xsi:type="dcterms:W3CDTF">2021-01-06T01:42:40Z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